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atLeast"/>
        <w:textAlignment w:val="baseline"/>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atLeast"/>
        <w:textAlignment w:val="baseline"/>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atLeast"/>
        <w:textAlignment w:val="baseline"/>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atLeast"/>
        <w:textAlignment w:val="baseline"/>
        <w:rPr>
          <w:rFonts w:hint="eastAsia" w:ascii="仿宋_GB2312" w:eastAsia="仿宋_GB2312"/>
          <w:sz w:val="32"/>
          <w:szCs w:val="32"/>
        </w:rPr>
      </w:pPr>
      <w:r>
        <w:rPr>
          <w:rFonts w:hint="eastAsia" w:ascii="仿宋_GB2312" w:eastAsia="仿宋_GB2312"/>
          <w:sz w:val="32"/>
          <w:szCs w:val="32"/>
        </w:rPr>
        <w:pict>
          <v:shape id="_x0000_s1026" o:spid="_x0000_s1026" o:spt="136" type="#_x0000_t136" style="position:absolute;left:0pt;margin-left:0.75pt;margin-top:41.7pt;height:46.5pt;width:442.5pt;mso-wrap-distance-bottom:0pt;mso-wrap-distance-left:9pt;mso-wrap-distance-right:9pt;mso-wrap-distance-top:0pt;z-index:251659264;mso-width-relative:page;mso-height-relative:page;" fillcolor="#FF0000" filled="t" stroked="t" coordsize="21600,21600">
            <v:path/>
            <v:fill on="t" focussize="0,0"/>
            <v:stroke weight="1.25pt" color="#FF0000"/>
            <v:imagedata o:title=""/>
            <o:lock v:ext="edit"/>
            <v:textpath on="t" fitshape="t" fitpath="t" trim="t" xscale="f" string="天津市滨海新区教育体育局文件" style="font-family:微软简标宋;font-size:36pt;v-text-align:center;"/>
            <w10:wrap type="square"/>
          </v:shape>
        </w:pict>
      </w:r>
    </w:p>
    <w:p>
      <w:pPr>
        <w:keepNext w:val="0"/>
        <w:keepLines w:val="0"/>
        <w:pageBreakBefore w:val="0"/>
        <w:widowControl w:val="0"/>
        <w:kinsoku/>
        <w:wordWrap/>
        <w:overflowPunct/>
        <w:topLinePunct w:val="0"/>
        <w:autoSpaceDE/>
        <w:autoSpaceDN/>
        <w:bidi w:val="0"/>
        <w:adjustRightInd w:val="0"/>
        <w:snapToGrid w:val="0"/>
        <w:spacing w:line="560" w:lineRule="atLeast"/>
        <w:textAlignment w:val="baseline"/>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atLeast"/>
        <w:textAlignment w:val="baseline"/>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atLeast"/>
        <w:jc w:val="center"/>
        <w:rPr>
          <w:rFonts w:ascii="仿宋_GB2312" w:eastAsia="仿宋_GB2312"/>
          <w:sz w:val="32"/>
          <w:szCs w:val="32"/>
        </w:rPr>
      </w:pPr>
      <w:r>
        <w:rPr>
          <w:rFonts w:hint="eastAsia" w:ascii="仿宋_GB2312" w:hAnsi="宋体" w:eastAsia="仿宋_GB2312" w:cs="宋体"/>
          <w:color w:val="000000"/>
          <w:sz w:val="34"/>
          <w:szCs w:val="34"/>
        </w:rPr>
        <w:t>津滨教体〔2021〕</w:t>
      </w:r>
      <w:r>
        <w:rPr>
          <w:rFonts w:hint="eastAsia" w:ascii="仿宋_GB2312" w:hAnsi="宋体" w:eastAsia="仿宋_GB2312" w:cs="宋体"/>
          <w:color w:val="000000"/>
          <w:sz w:val="34"/>
          <w:szCs w:val="34"/>
          <w:lang w:val="en-US" w:eastAsia="zh-CN"/>
        </w:rPr>
        <w:t>33</w:t>
      </w:r>
      <w:r>
        <w:rPr>
          <w:rFonts w:hint="eastAsia" w:ascii="仿宋_GB2312" w:hAnsi="宋体" w:eastAsia="仿宋_GB2312" w:cs="宋体"/>
          <w:color w:val="000000"/>
          <w:sz w:val="34"/>
          <w:szCs w:val="34"/>
        </w:rPr>
        <w:t>号</w:t>
      </w:r>
    </w:p>
    <w:p>
      <w:pPr>
        <w:keepNext w:val="0"/>
        <w:keepLines w:val="0"/>
        <w:pageBreakBefore w:val="0"/>
        <w:widowControl w:val="0"/>
        <w:kinsoku/>
        <w:wordWrap/>
        <w:overflowPunct/>
        <w:topLinePunct w:val="0"/>
        <w:autoSpaceDE/>
        <w:autoSpaceDN/>
        <w:bidi w:val="0"/>
        <w:adjustRightInd w:val="0"/>
        <w:snapToGrid w:val="0"/>
        <w:spacing w:line="560" w:lineRule="atLeast"/>
        <w:textAlignment w:val="baseline"/>
        <w:rPr>
          <w:rFonts w:hint="eastAsia" w:ascii="仿宋_GB2312" w:eastAsia="仿宋_GB2312"/>
          <w:sz w:val="32"/>
          <w:szCs w:val="32"/>
        </w:rPr>
      </w:pPr>
      <w:r>
        <w:rPr>
          <w:rFonts w:hint="eastAsia" w:ascii="仿宋_GB2312" w:eastAsia="仿宋_GB2312"/>
          <w:sz w:val="32"/>
          <w:szCs w:val="32"/>
        </w:rPr>
        <w:pict>
          <v:line id="直线 2" o:spid="_x0000_s1027" o:spt="20" style="position:absolute;left:0pt;margin-left:-17.25pt;margin-top:10.85pt;height:0pt;width:479.25pt;z-index:251660288;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">
            <v:path arrowok="t"/>
            <v:fill focussize="0,0"/>
            <v:stroke weight="2.25pt" color="#FF0000"/>
            <v:imagedata o:title=""/>
            <o:lock v:ext="edit"/>
          </v:line>
        </w:pict>
      </w:r>
    </w:p>
    <w:p>
      <w:pPr>
        <w:keepNext w:val="0"/>
        <w:keepLines w:val="0"/>
        <w:pageBreakBefore w:val="0"/>
        <w:widowControl w:val="0"/>
        <w:kinsoku/>
        <w:wordWrap/>
        <w:overflowPunct/>
        <w:topLinePunct w:val="0"/>
        <w:autoSpaceDE/>
        <w:autoSpaceDN/>
        <w:bidi w:val="0"/>
        <w:adjustRightInd w:val="0"/>
        <w:snapToGrid w:val="0"/>
        <w:spacing w:line="560" w:lineRule="atLeast"/>
        <w:textAlignment w:val="baseline"/>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baseline"/>
        <w:rPr>
          <w:rFonts w:hint="eastAsia" w:ascii="微软简标宋" w:hAnsi="宋体" w:eastAsia="微软简标宋"/>
          <w:sz w:val="44"/>
          <w:szCs w:val="44"/>
        </w:rPr>
      </w:pPr>
      <w:r>
        <w:rPr>
          <w:rFonts w:hint="eastAsia" w:ascii="微软简标宋" w:hAnsi="宋体" w:eastAsia="微软简标宋"/>
          <w:sz w:val="44"/>
          <w:szCs w:val="44"/>
        </w:rPr>
        <w:t>关于印发《滨海新区关于建立健全防范冒名顶替上大学问题长效机制的实施细则》的</w:t>
      </w:r>
    </w:p>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baseline"/>
        <w:rPr>
          <w:rFonts w:ascii="微软简标宋" w:hAnsi="宋体" w:eastAsia="微软简标宋"/>
          <w:sz w:val="44"/>
          <w:szCs w:val="44"/>
        </w:rPr>
      </w:pPr>
      <w:r>
        <w:rPr>
          <w:rFonts w:hint="eastAsia" w:ascii="微软简标宋" w:hAnsi="宋体" w:eastAsia="微软简标宋"/>
          <w:sz w:val="44"/>
          <w:szCs w:val="44"/>
        </w:rPr>
        <w:t>通</w:t>
      </w:r>
      <w:r>
        <w:rPr>
          <w:rFonts w:hint="eastAsia" w:ascii="微软简标宋" w:hAnsi="宋体" w:eastAsia="微软简标宋"/>
          <w:sz w:val="44"/>
          <w:szCs w:val="44"/>
          <w:lang w:val="en-US" w:eastAsia="zh-CN"/>
        </w:rPr>
        <w:t xml:space="preserve">  </w:t>
      </w:r>
      <w:r>
        <w:rPr>
          <w:rFonts w:hint="eastAsia" w:ascii="微软简标宋" w:hAnsi="宋体" w:eastAsia="微软简标宋"/>
          <w:sz w:val="44"/>
          <w:szCs w:val="44"/>
        </w:rPr>
        <w:t>知</w:t>
      </w:r>
    </w:p>
    <w:p>
      <w:pPr>
        <w:keepNext w:val="0"/>
        <w:keepLines w:val="0"/>
        <w:pageBreakBefore w:val="0"/>
        <w:widowControl w:val="0"/>
        <w:kinsoku/>
        <w:wordWrap/>
        <w:overflowPunct/>
        <w:topLinePunct w:val="0"/>
        <w:autoSpaceDE/>
        <w:autoSpaceDN/>
        <w:bidi w:val="0"/>
        <w:adjustRightInd w:val="0"/>
        <w:snapToGrid w:val="0"/>
        <w:spacing w:line="560" w:lineRule="atLeast"/>
        <w:textAlignment w:val="baseline"/>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atLeast"/>
        <w:textAlignment w:val="baseline"/>
        <w:rPr>
          <w:rFonts w:ascii="仿宋_GB2312" w:eastAsia="仿宋_GB2312"/>
          <w:sz w:val="32"/>
          <w:szCs w:val="32"/>
        </w:rPr>
      </w:pPr>
      <w:r>
        <w:rPr>
          <w:rFonts w:hint="eastAsia" w:ascii="仿宋_GB2312" w:eastAsia="仿宋_GB2312"/>
          <w:sz w:val="32"/>
          <w:szCs w:val="32"/>
        </w:rPr>
        <w:t>局属各高中，考试中心，各开发区（泰达街）教育管理部门：</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baseline"/>
        <w:rPr>
          <w:rFonts w:ascii="仿宋_GB2312" w:eastAsia="仿宋_GB2312"/>
          <w:sz w:val="32"/>
          <w:szCs w:val="32"/>
        </w:rPr>
      </w:pPr>
      <w:r>
        <w:rPr>
          <w:rFonts w:hint="eastAsia" w:ascii="仿宋_GB2312" w:eastAsia="仿宋_GB2312"/>
          <w:sz w:val="32"/>
          <w:szCs w:val="32"/>
        </w:rPr>
        <w:t>现将《滨海新区关于建立健全防范冒名顶替上大学问题长效机制的实施细则》印发给你们，请遵照执行。</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baseline"/>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baseline"/>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baseline"/>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baseline"/>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2021年8月18日</w:t>
      </w:r>
    </w:p>
    <w:p>
      <w:pPr>
        <w:keepNext w:val="0"/>
        <w:keepLines w:val="0"/>
        <w:pageBreakBefore w:val="0"/>
        <w:widowControl w:val="0"/>
        <w:kinsoku/>
        <w:wordWrap/>
        <w:overflowPunct/>
        <w:topLinePunct w:val="0"/>
        <w:autoSpaceDE/>
        <w:autoSpaceDN/>
        <w:bidi w:val="0"/>
        <w:adjustRightInd w:val="0"/>
        <w:snapToGrid w:val="0"/>
        <w:spacing w:line="560" w:lineRule="atLeast"/>
        <w:textAlignment w:val="baseline"/>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atLeast"/>
        <w:textAlignment w:val="baseline"/>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baseline"/>
        <w:rPr>
          <w:rFonts w:hint="eastAsia" w:ascii="微软简标宋" w:hAnsi="宋体" w:eastAsia="微软简标宋"/>
          <w:sz w:val="44"/>
          <w:szCs w:val="44"/>
        </w:rPr>
      </w:pPr>
      <w:r>
        <w:rPr>
          <w:rFonts w:hint="eastAsia" w:ascii="微软简标宋" w:hAnsi="宋体" w:eastAsia="微软简标宋"/>
          <w:sz w:val="44"/>
          <w:szCs w:val="44"/>
        </w:rPr>
        <w:t>滨海新区关于建立健全防范冒名顶替</w:t>
      </w:r>
    </w:p>
    <w:p>
      <w:pPr>
        <w:keepNext w:val="0"/>
        <w:keepLines w:val="0"/>
        <w:pageBreakBefore w:val="0"/>
        <w:widowControl w:val="0"/>
        <w:kinsoku/>
        <w:wordWrap/>
        <w:overflowPunct/>
        <w:topLinePunct w:val="0"/>
        <w:autoSpaceDE/>
        <w:autoSpaceDN/>
        <w:bidi w:val="0"/>
        <w:adjustRightInd w:val="0"/>
        <w:snapToGrid w:val="0"/>
        <w:spacing w:line="560" w:lineRule="atLeast"/>
        <w:jc w:val="center"/>
        <w:textAlignment w:val="baseline"/>
        <w:rPr>
          <w:rFonts w:ascii="微软简标宋" w:hAnsi="宋体" w:eastAsia="微软简标宋"/>
          <w:sz w:val="44"/>
          <w:szCs w:val="44"/>
        </w:rPr>
      </w:pPr>
      <w:r>
        <w:rPr>
          <w:rFonts w:hint="eastAsia" w:ascii="微软简标宋" w:hAnsi="宋体" w:eastAsia="微软简标宋"/>
          <w:sz w:val="44"/>
          <w:szCs w:val="44"/>
        </w:rPr>
        <w:t>上大学问题长效机制的实施细则</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baseline"/>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baseline"/>
        <w:rPr>
          <w:rFonts w:ascii="仿宋_GB2312" w:eastAsia="仿宋_GB2312"/>
          <w:sz w:val="32"/>
          <w:szCs w:val="32"/>
        </w:rPr>
      </w:pPr>
      <w:r>
        <w:rPr>
          <w:rFonts w:hint="eastAsia" w:ascii="仿宋_GB2312" w:eastAsia="仿宋_GB2312"/>
          <w:sz w:val="32"/>
          <w:szCs w:val="32"/>
        </w:rPr>
        <w:t>根据《市委教育工委 市教委关于建立健全防范冒名顶替上大学问题长效机制的实施意见》（津教党[2021]54号）要求，针对专项清查处置工作中发现的突出问题和漏洞短板，为防止冒名顶替上大学问题发生，建立健全不敢、不能、不想的长效机制，切实维护教育公平的公信力，结合滨海新区实际，特制定本实施细则。</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baseline"/>
        <w:rPr>
          <w:rFonts w:ascii="黑体" w:hAnsi="黑体" w:eastAsia="黑体"/>
          <w:sz w:val="32"/>
          <w:szCs w:val="32"/>
        </w:rPr>
      </w:pPr>
      <w:r>
        <w:rPr>
          <w:rFonts w:hint="eastAsia" w:ascii="黑体" w:hAnsi="黑体" w:eastAsia="黑体"/>
          <w:sz w:val="32"/>
          <w:szCs w:val="32"/>
        </w:rPr>
        <w:t>一、规范高中学籍管理</w:t>
      </w:r>
    </w:p>
    <w:p>
      <w:pPr>
        <w:keepNext w:val="0"/>
        <w:keepLines w:val="0"/>
        <w:pageBreakBefore w:val="0"/>
        <w:widowControl w:val="0"/>
        <w:kinsoku/>
        <w:wordWrap/>
        <w:overflowPunct/>
        <w:topLinePunct w:val="0"/>
        <w:autoSpaceDE/>
        <w:autoSpaceDN/>
        <w:bidi w:val="0"/>
        <w:adjustRightInd w:val="0"/>
        <w:snapToGrid w:val="0"/>
        <w:spacing w:line="560" w:lineRule="atLeast"/>
        <w:ind w:firstLine="643" w:firstLineChars="200"/>
        <w:textAlignment w:val="baseline"/>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（一）加强学籍管理人员培训</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baseline"/>
        <w:rPr>
          <w:rFonts w:ascii="仿宋_GB2312" w:eastAsia="仿宋_GB2312"/>
          <w:sz w:val="32"/>
          <w:szCs w:val="32"/>
        </w:rPr>
      </w:pPr>
      <w:r>
        <w:rPr>
          <w:rFonts w:hint="eastAsia" w:ascii="仿宋_GB2312" w:eastAsia="仿宋_GB2312"/>
          <w:sz w:val="32"/>
          <w:szCs w:val="32"/>
        </w:rPr>
        <w:t>遵照《天津市高中学生学籍管理实施办法》和上级部门相关文件要求，及时开展学籍管理专项培训工作，确保各高中学校涉及学籍管理的领导人员和工作人员在知悉政策前提下遵守政策并向学生家长宣讲政策，杜绝因政策不明而导致的工作失误。</w:t>
      </w:r>
    </w:p>
    <w:p>
      <w:pPr>
        <w:keepNext w:val="0"/>
        <w:keepLines w:val="0"/>
        <w:pageBreakBefore w:val="0"/>
        <w:widowControl w:val="0"/>
        <w:kinsoku/>
        <w:wordWrap/>
        <w:overflowPunct/>
        <w:topLinePunct w:val="0"/>
        <w:autoSpaceDE/>
        <w:autoSpaceDN/>
        <w:bidi w:val="0"/>
        <w:adjustRightInd w:val="0"/>
        <w:snapToGrid w:val="0"/>
        <w:spacing w:line="560" w:lineRule="atLeast"/>
        <w:ind w:firstLine="643" w:firstLineChars="200"/>
        <w:textAlignment w:val="baseline"/>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（二）严把各项佐证材料审核</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baseline"/>
        <w:rPr>
          <w:rFonts w:ascii="仿宋_GB2312" w:eastAsia="仿宋_GB2312"/>
          <w:sz w:val="32"/>
          <w:szCs w:val="32"/>
        </w:rPr>
      </w:pPr>
      <w:r>
        <w:rPr>
          <w:rFonts w:hint="eastAsia" w:ascii="仿宋_GB2312" w:eastAsia="仿宋_GB2312"/>
          <w:sz w:val="32"/>
          <w:szCs w:val="32"/>
        </w:rPr>
        <w:t>严格规范学校对高中学生学籍的注册工作，健全须审核人员签字确认的学籍信息变更审批制度。各高中学校要遵循人籍一致、籍随人走的原则，认真履行高中学籍管理责任，强化对本校内高中学籍信息的审核，所有入学、转学、休学、复学、出国等须留存佐证材料原件照片，并通过全国中小学生学籍信息管理系统办理。佐证材料报公安部门审核认证，相关佐证材料长期留存备查。</w:t>
      </w:r>
    </w:p>
    <w:p>
      <w:pPr>
        <w:keepNext w:val="0"/>
        <w:keepLines w:val="0"/>
        <w:pageBreakBefore w:val="0"/>
        <w:widowControl w:val="0"/>
        <w:kinsoku/>
        <w:wordWrap/>
        <w:overflowPunct/>
        <w:topLinePunct w:val="0"/>
        <w:autoSpaceDE/>
        <w:autoSpaceDN/>
        <w:bidi w:val="0"/>
        <w:adjustRightInd w:val="0"/>
        <w:snapToGrid w:val="0"/>
        <w:spacing w:line="560" w:lineRule="atLeast"/>
        <w:ind w:firstLine="643" w:firstLineChars="200"/>
        <w:textAlignment w:val="baseline"/>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（三）开展学籍管理专项核查</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baseline"/>
        <w:rPr>
          <w:rFonts w:ascii="仿宋_GB2312" w:eastAsia="仿宋_GB2312"/>
          <w:sz w:val="32"/>
          <w:szCs w:val="32"/>
        </w:rPr>
      </w:pPr>
      <w:r>
        <w:rPr>
          <w:rFonts w:hint="eastAsia" w:ascii="仿宋_GB2312" w:eastAsia="仿宋_GB2312"/>
          <w:sz w:val="32"/>
          <w:szCs w:val="32"/>
        </w:rPr>
        <w:t>定期对各校学籍管理进行督促检查。每年全国统一高考报名前，由区招生考试中心针对高中学籍和学生实际就读情况进行核查，重点发现和纠正学籍造假等问题，区教体局将组织人员进行抽查。各高中要全面、准确地向区考试中心提供考生学籍和实际就读情况等信息。</w:t>
      </w:r>
    </w:p>
    <w:p>
      <w:pPr>
        <w:keepNext w:val="0"/>
        <w:keepLines w:val="0"/>
        <w:pageBreakBefore w:val="0"/>
        <w:widowControl w:val="0"/>
        <w:kinsoku/>
        <w:wordWrap/>
        <w:overflowPunct/>
        <w:topLinePunct w:val="0"/>
        <w:autoSpaceDE/>
        <w:autoSpaceDN/>
        <w:bidi w:val="0"/>
        <w:adjustRightInd w:val="0"/>
        <w:snapToGrid w:val="0"/>
        <w:spacing w:line="560" w:lineRule="atLeast"/>
        <w:ind w:firstLine="643" w:firstLineChars="200"/>
        <w:textAlignment w:val="baseline"/>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（四）严肃处理违规违纪行为</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baseline"/>
        <w:rPr>
          <w:rFonts w:ascii="仿宋_GB2312" w:eastAsia="仿宋_GB2312"/>
          <w:sz w:val="32"/>
          <w:szCs w:val="32"/>
        </w:rPr>
      </w:pPr>
      <w:r>
        <w:rPr>
          <w:rFonts w:hint="eastAsia" w:ascii="仿宋_GB2312" w:eastAsia="仿宋_GB2312"/>
          <w:sz w:val="32"/>
          <w:szCs w:val="32"/>
        </w:rPr>
        <w:t>各高中要严格按照“一人一籍、籍随人走”的学籍管理原则开展各项工作，严禁非正常迁移学籍、空挂学籍、伪造学籍、出具虚假就读证明等违规行为，上述行为一经发现将视程度追究相关责任人责任。</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baseline"/>
        <w:rPr>
          <w:rFonts w:ascii="黑体" w:hAnsi="黑体" w:eastAsia="黑体"/>
          <w:sz w:val="32"/>
          <w:szCs w:val="32"/>
        </w:rPr>
      </w:pPr>
      <w:r>
        <w:rPr>
          <w:rFonts w:hint="eastAsia" w:ascii="黑体" w:hAnsi="黑体" w:eastAsia="黑体"/>
          <w:sz w:val="32"/>
          <w:szCs w:val="32"/>
        </w:rPr>
        <w:t>二、严格高考报名和资格审查</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baseline"/>
        <w:rPr>
          <w:rFonts w:ascii="仿宋_GB2312" w:eastAsia="仿宋_GB2312"/>
          <w:sz w:val="32"/>
          <w:szCs w:val="32"/>
        </w:rPr>
      </w:pPr>
      <w:r>
        <w:rPr>
          <w:rFonts w:hint="eastAsia" w:ascii="仿宋_GB2312" w:eastAsia="仿宋_GB2312"/>
          <w:sz w:val="32"/>
          <w:szCs w:val="32"/>
        </w:rPr>
        <w:t>依据天津市普通高等学校招生考试报名工作的有关文件精神，结合滨海新区实际情况，制定滨海新区高考报名实</w:t>
      </w:r>
      <w:r>
        <w:rPr>
          <w:rFonts w:ascii="仿宋_GB2312" w:eastAsia="仿宋_GB2312"/>
          <w:sz w:val="32"/>
          <w:szCs w:val="32"/>
        </w:rPr>
        <w:t>施</w:t>
      </w:r>
      <w:r>
        <w:rPr>
          <w:rFonts w:hint="eastAsia" w:ascii="仿宋_GB2312" w:eastAsia="仿宋_GB2312"/>
          <w:sz w:val="32"/>
          <w:szCs w:val="32"/>
        </w:rPr>
        <w:t>细则：</w:t>
      </w:r>
    </w:p>
    <w:p>
      <w:pPr>
        <w:keepNext w:val="0"/>
        <w:keepLines w:val="0"/>
        <w:pageBreakBefore w:val="0"/>
        <w:widowControl w:val="0"/>
        <w:kinsoku/>
        <w:wordWrap/>
        <w:overflowPunct/>
        <w:topLinePunct w:val="0"/>
        <w:autoSpaceDE/>
        <w:autoSpaceDN/>
        <w:bidi w:val="0"/>
        <w:adjustRightInd w:val="0"/>
        <w:snapToGrid w:val="0"/>
        <w:spacing w:line="560" w:lineRule="atLeast"/>
        <w:ind w:firstLine="643" w:firstLineChars="200"/>
        <w:textAlignment w:val="baseline"/>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（一）报名范围</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baseline"/>
        <w:rPr>
          <w:rFonts w:ascii="仿宋_GB2312" w:eastAsia="仿宋_GB2312"/>
          <w:sz w:val="32"/>
          <w:szCs w:val="32"/>
        </w:rPr>
      </w:pPr>
      <w:r>
        <w:rPr>
          <w:rFonts w:hint="eastAsia" w:ascii="仿宋_GB2312" w:eastAsia="仿宋_GB2312"/>
          <w:sz w:val="32"/>
          <w:szCs w:val="32"/>
        </w:rPr>
        <w:t>遵守中华人民共和国宪法和法律，高中阶段学校毕业或具有同等学力，身体状况符合相关要求，且符合下列条件之一的考生，可以在我区报名参加普通高考：</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baseline"/>
        <w:rPr>
          <w:rFonts w:ascii="仿宋_GB2312" w:eastAsia="仿宋_GB2312"/>
          <w:sz w:val="32"/>
          <w:szCs w:val="32"/>
        </w:rPr>
      </w:pPr>
      <w:r>
        <w:rPr>
          <w:rFonts w:hint="eastAsia" w:ascii="仿宋_GB2312" w:eastAsia="仿宋_GB2312"/>
          <w:sz w:val="32"/>
          <w:szCs w:val="32"/>
        </w:rPr>
        <w:t>1．具有我市常住户籍的考生，须符合以下要求：</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baseline"/>
        <w:rPr>
          <w:rFonts w:ascii="仿宋_GB2312" w:eastAsia="仿宋_GB2312"/>
          <w:sz w:val="32"/>
          <w:szCs w:val="32"/>
        </w:rPr>
      </w:pPr>
      <w:r>
        <w:rPr>
          <w:rFonts w:hint="eastAsia" w:ascii="仿宋_GB2312" w:eastAsia="仿宋_GB2312"/>
          <w:sz w:val="32"/>
          <w:szCs w:val="32"/>
        </w:rPr>
        <w:t>（1）应届毕业生，须具有我区高中阶段学校3年学籍并实际就读，对于目前在校的高中阶段学校学生，实行3年过渡政策：报名参加2022年高考的，须具有我区高中阶段学校高三年级1年学籍并实际就读；报名参加2023年高考的，须具有我区高中阶段学校高二、高三年级2年学籍并实际就读；报名参加2024年及以后高考的，须具有我区高中阶段学校3年学籍并实际就读。</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baseline"/>
        <w:rPr>
          <w:rFonts w:ascii="仿宋_GB2312" w:eastAsia="仿宋_GB2312"/>
          <w:sz w:val="32"/>
          <w:szCs w:val="32"/>
        </w:rPr>
      </w:pPr>
      <w:r>
        <w:rPr>
          <w:rFonts w:hint="eastAsia" w:ascii="仿宋_GB2312" w:eastAsia="仿宋_GB2312"/>
          <w:sz w:val="32"/>
          <w:szCs w:val="32"/>
        </w:rPr>
        <w:t>（2）往届毕业生（滨海新区户籍），须具有我市高中阶段学校毕业证书。对于持外省高中阶段学校毕业证书的往届毕业生，须满足高中阶段毕业3年及以上，实行3年过渡政策：报名参加2022年高考的，须满足高中阶段毕业1年及以上；报名参加2023年高考的，须满足高中阶段毕业2年及以上；报名参加2024年及以后高考的，须满足高中阶段毕业3年及以上。</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baseline"/>
        <w:rPr>
          <w:rFonts w:ascii="仿宋_GB2312" w:eastAsia="仿宋_GB2312"/>
          <w:sz w:val="32"/>
          <w:szCs w:val="32"/>
        </w:rPr>
      </w:pPr>
      <w:r>
        <w:rPr>
          <w:rFonts w:hint="eastAsia" w:ascii="仿宋_GB2312" w:eastAsia="仿宋_GB2312"/>
          <w:sz w:val="32"/>
          <w:szCs w:val="32"/>
        </w:rPr>
        <w:t>（3）高中阶段同等学力考生（滨海新区户籍</w:t>
      </w:r>
      <w:r>
        <w:rPr>
          <w:rFonts w:ascii="仿宋_GB2312" w:eastAsia="仿宋_GB2312"/>
          <w:sz w:val="32"/>
          <w:szCs w:val="32"/>
        </w:rPr>
        <w:t>）</w:t>
      </w:r>
      <w:r>
        <w:rPr>
          <w:rFonts w:hint="eastAsia" w:ascii="仿宋_GB2312" w:eastAsia="仿宋_GB2312"/>
          <w:sz w:val="32"/>
          <w:szCs w:val="32"/>
        </w:rPr>
        <w:t>，须参加我市统一组织的普通高中学业水平合格性考试且各科成绩合格，并具有我市初中学校毕业证书。对于持外省初中学校毕业证书的同等学力考生，除普通</w:t>
      </w:r>
      <w:r>
        <w:rPr>
          <w:rFonts w:ascii="仿宋_GB2312" w:eastAsia="仿宋_GB2312"/>
          <w:sz w:val="32"/>
          <w:szCs w:val="32"/>
        </w:rPr>
        <w:t>高中学业水平合格性考试各科成绩合格外</w:t>
      </w:r>
      <w:r>
        <w:rPr>
          <w:rFonts w:hint="eastAsia" w:ascii="仿宋_GB2312" w:eastAsia="仿宋_GB2312"/>
          <w:sz w:val="32"/>
          <w:szCs w:val="32"/>
        </w:rPr>
        <w:t>，还须满足初中毕业6年及以上，实行3年过渡政策：报名参加2022年高考的，须满足初中毕业4年及以上；报名参加2023年高考的，须满足初中毕业5年及以上；报名参加2024年及以后高考的，须满足初中毕业6年及以上。</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baseline"/>
        <w:rPr>
          <w:rFonts w:ascii="仿宋_GB2312" w:eastAsia="仿宋_GB2312"/>
          <w:sz w:val="32"/>
          <w:szCs w:val="32"/>
        </w:rPr>
      </w:pPr>
      <w:r>
        <w:rPr>
          <w:rFonts w:hint="eastAsia" w:ascii="仿宋_GB2312" w:eastAsia="仿宋_GB2312"/>
          <w:sz w:val="32"/>
          <w:szCs w:val="32"/>
        </w:rPr>
        <w:t>2.符合《关于蓝印户口学生在我市入学就读及参加普通高考报名资格的通知》（津教委中[2009]6号）规定的考生。</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baseline"/>
        <w:rPr>
          <w:rFonts w:ascii="仿宋_GB2312" w:eastAsia="仿宋_GB2312"/>
          <w:sz w:val="32"/>
          <w:szCs w:val="32"/>
        </w:rPr>
      </w:pPr>
      <w:r>
        <w:rPr>
          <w:rFonts w:hint="eastAsia" w:ascii="仿宋_GB2312" w:eastAsia="仿宋_GB2312"/>
          <w:sz w:val="32"/>
          <w:szCs w:val="32"/>
        </w:rPr>
        <w:t>3.符合国家有关规定，持天津市公安局签发的《中华人民共和国外国人永久居留身份证》的考生。</w:t>
      </w:r>
    </w:p>
    <w:p>
      <w:pPr>
        <w:keepNext w:val="0"/>
        <w:keepLines w:val="0"/>
        <w:pageBreakBefore w:val="0"/>
        <w:widowControl w:val="0"/>
        <w:kinsoku/>
        <w:wordWrap/>
        <w:overflowPunct/>
        <w:topLinePunct w:val="0"/>
        <w:autoSpaceDE/>
        <w:autoSpaceDN/>
        <w:bidi w:val="0"/>
        <w:adjustRightInd w:val="0"/>
        <w:snapToGrid w:val="0"/>
        <w:spacing w:line="560" w:lineRule="atLeast"/>
        <w:ind w:firstLine="643" w:firstLineChars="200"/>
        <w:textAlignment w:val="baseline"/>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（二）报名办法</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baseline"/>
        <w:rPr>
          <w:rFonts w:ascii="仿宋_GB2312" w:eastAsia="仿宋_GB2312"/>
          <w:sz w:val="32"/>
          <w:szCs w:val="32"/>
        </w:rPr>
      </w:pPr>
      <w:r>
        <w:rPr>
          <w:rFonts w:hint="eastAsia" w:ascii="仿宋_GB2312" w:eastAsia="仿宋_GB2312"/>
          <w:sz w:val="32"/>
          <w:szCs w:val="32"/>
        </w:rPr>
        <w:t>高考报名工作按照报考者自主网上录入信息并缴费、现场资格审查并摄像、确认报名信息并签字的程序进行。录入信息必须完整、真实、准确。</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baseline"/>
        <w:rPr>
          <w:rFonts w:ascii="仿宋_GB2312" w:eastAsia="仿宋_GB2312"/>
          <w:sz w:val="32"/>
          <w:szCs w:val="32"/>
        </w:rPr>
      </w:pPr>
      <w:r>
        <w:rPr>
          <w:rFonts w:hint="eastAsia" w:ascii="仿宋_GB2312" w:eastAsia="仿宋_GB2312"/>
          <w:sz w:val="32"/>
          <w:szCs w:val="32"/>
        </w:rPr>
        <w:t>已成功进行网上报名并缴费的报考者，持本人网上报名序号及报名所需携带的相关证明材料，按规定时间到规定地点进行资格审查、摄像，并确认报名信息，否则报名无效。逾期不再办理。</w:t>
      </w:r>
    </w:p>
    <w:p>
      <w:pPr>
        <w:keepNext w:val="0"/>
        <w:keepLines w:val="0"/>
        <w:pageBreakBefore w:val="0"/>
        <w:widowControl w:val="0"/>
        <w:kinsoku/>
        <w:wordWrap/>
        <w:overflowPunct/>
        <w:topLinePunct w:val="0"/>
        <w:autoSpaceDE/>
        <w:autoSpaceDN/>
        <w:bidi w:val="0"/>
        <w:adjustRightInd w:val="0"/>
        <w:snapToGrid w:val="0"/>
        <w:spacing w:line="560" w:lineRule="atLeast"/>
        <w:ind w:firstLine="643" w:firstLineChars="200"/>
        <w:textAlignment w:val="baseline"/>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（三）报名资格审核确认所需材料</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baseline"/>
        <w:rPr>
          <w:rFonts w:ascii="仿宋_GB2312" w:eastAsia="仿宋_GB2312"/>
          <w:sz w:val="32"/>
          <w:szCs w:val="32"/>
        </w:rPr>
      </w:pPr>
      <w:r>
        <w:rPr>
          <w:rFonts w:hint="eastAsia" w:ascii="仿宋_GB2312" w:eastAsia="仿宋_GB2312"/>
          <w:sz w:val="32"/>
          <w:szCs w:val="32"/>
        </w:rPr>
        <w:t>第一类：本市正式常住户口（含蓝印户口）的应届毕</w:t>
      </w:r>
      <w:r>
        <w:rPr>
          <w:rFonts w:ascii="仿宋_GB2312" w:eastAsia="仿宋_GB2312"/>
          <w:sz w:val="32"/>
          <w:szCs w:val="32"/>
        </w:rPr>
        <w:t>业生</w:t>
      </w:r>
      <w:r>
        <w:rPr>
          <w:rFonts w:hint="eastAsia" w:ascii="仿宋_GB2312" w:eastAsia="仿宋_GB2312"/>
          <w:sz w:val="32"/>
          <w:szCs w:val="32"/>
        </w:rPr>
        <w:t>：1.户口本原件及首页、户主页、本人页的复印件；2.二代身份证原件及正反面的复印件。3.蓝印户口还须提供“城市建设增容费发票原件及复印件（发票号须清晰）”。</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baseline"/>
        <w:rPr>
          <w:rFonts w:ascii="仿宋_GB2312" w:eastAsia="仿宋_GB2312"/>
          <w:sz w:val="32"/>
          <w:szCs w:val="32"/>
        </w:rPr>
      </w:pPr>
      <w:r>
        <w:rPr>
          <w:rFonts w:hint="eastAsia" w:ascii="仿宋_GB2312" w:eastAsia="仿宋_GB2312"/>
          <w:sz w:val="32"/>
          <w:szCs w:val="32"/>
        </w:rPr>
        <w:t>第二类，本市正式常住户口（滨海新区户籍）往届毕</w:t>
      </w:r>
      <w:r>
        <w:rPr>
          <w:rFonts w:ascii="仿宋_GB2312" w:eastAsia="仿宋_GB2312"/>
          <w:sz w:val="32"/>
          <w:szCs w:val="32"/>
        </w:rPr>
        <w:t>业生</w:t>
      </w:r>
      <w:r>
        <w:rPr>
          <w:rFonts w:hint="eastAsia" w:ascii="仿宋_GB2312" w:eastAsia="仿宋_GB2312"/>
          <w:sz w:val="32"/>
          <w:szCs w:val="32"/>
        </w:rPr>
        <w:t>：1.户口本原件及首页、户主页、本人页的复印件；2.二代身份证原件及正反面的复印件；3.高中阶段毕业证原件及复印件。</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baseline"/>
        <w:rPr>
          <w:rFonts w:ascii="仿宋_GB2312" w:eastAsia="仿宋_GB2312"/>
          <w:sz w:val="32"/>
          <w:szCs w:val="32"/>
        </w:rPr>
      </w:pPr>
      <w:r>
        <w:rPr>
          <w:rFonts w:hint="eastAsia" w:ascii="仿宋_GB2312" w:eastAsia="仿宋_GB2312"/>
          <w:sz w:val="32"/>
          <w:szCs w:val="32"/>
        </w:rPr>
        <w:t>第三类，本市蓝印户口（滨海新区户籍）往届毕</w:t>
      </w:r>
      <w:r>
        <w:rPr>
          <w:rFonts w:ascii="仿宋_GB2312" w:eastAsia="仿宋_GB2312"/>
          <w:sz w:val="32"/>
          <w:szCs w:val="32"/>
        </w:rPr>
        <w:t>业生</w:t>
      </w:r>
      <w:r>
        <w:rPr>
          <w:rFonts w:hint="eastAsia" w:ascii="仿宋_GB2312" w:eastAsia="仿宋_GB2312"/>
          <w:sz w:val="32"/>
          <w:szCs w:val="32"/>
        </w:rPr>
        <w:t>：1.原籍户口本、蓝印户口本原件及首页、户主页、本人页的复印件；2.二代身份证原件及正反面的复印件；3.城市建设增容费发票原件及复印件（发票号须清晰）；4.</w:t>
      </w:r>
      <w:r>
        <w:rPr>
          <w:rFonts w:ascii="仿宋_GB2312" w:eastAsia="仿宋_GB2312"/>
          <w:sz w:val="32"/>
          <w:szCs w:val="32"/>
        </w:rPr>
        <w:t>上一年度</w:t>
      </w:r>
      <w:r>
        <w:rPr>
          <w:rFonts w:hint="eastAsia" w:ascii="仿宋_GB2312" w:eastAsia="仿宋_GB2312"/>
          <w:sz w:val="32"/>
          <w:szCs w:val="32"/>
        </w:rPr>
        <w:t>及以前在天津市参加高考的准考证或成绩单原件及复印件；5.天津市高中毕业证原件及复印件。</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baseline"/>
        <w:rPr>
          <w:rFonts w:ascii="仿宋_GB2312" w:eastAsia="仿宋_GB2312"/>
          <w:sz w:val="32"/>
          <w:szCs w:val="32"/>
        </w:rPr>
      </w:pPr>
      <w:r>
        <w:rPr>
          <w:rFonts w:hint="eastAsia" w:ascii="仿宋_GB2312" w:eastAsia="仿宋_GB2312"/>
          <w:sz w:val="32"/>
          <w:szCs w:val="32"/>
        </w:rPr>
        <w:t>注：第二类、第三类如为普通高校已退学的考生，还需携带普通高校出具的退学证明原件及复印件。高校录取报到注册，但未退学的不能报名。高校包括全日制高校、成人高校、网络高等教育、开放教育等。</w:t>
      </w:r>
    </w:p>
    <w:p>
      <w:pPr>
        <w:keepNext w:val="0"/>
        <w:keepLines w:val="0"/>
        <w:pageBreakBefore w:val="0"/>
        <w:widowControl w:val="0"/>
        <w:kinsoku/>
        <w:wordWrap/>
        <w:overflowPunct/>
        <w:topLinePunct w:val="0"/>
        <w:autoSpaceDE/>
        <w:autoSpaceDN/>
        <w:bidi w:val="0"/>
        <w:adjustRightInd w:val="0"/>
        <w:snapToGrid w:val="0"/>
        <w:spacing w:line="560" w:lineRule="atLeast"/>
        <w:ind w:firstLine="643" w:firstLineChars="200"/>
        <w:textAlignment w:val="baseline"/>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（四）报名资格审核要求</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baseline"/>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所有报名考生必须接受报名单位的资格审查，不接受资格审查或不符合资格条件者，一律不得在津参加普通高校招生考试。</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baseline"/>
        <w:rPr>
          <w:rFonts w:ascii="仿宋_GB2312" w:eastAsia="仿宋_GB2312"/>
          <w:sz w:val="32"/>
          <w:szCs w:val="32"/>
        </w:rPr>
      </w:pPr>
      <w:r>
        <w:rPr>
          <w:rFonts w:hint="eastAsia" w:ascii="仿宋_GB2312" w:eastAsia="仿宋_GB2312"/>
          <w:sz w:val="32"/>
          <w:szCs w:val="32"/>
        </w:rPr>
        <w:t>2.应届毕业生的各</w:t>
      </w:r>
      <w:r>
        <w:rPr>
          <w:rFonts w:ascii="仿宋_GB2312" w:eastAsia="仿宋_GB2312"/>
          <w:sz w:val="32"/>
          <w:szCs w:val="32"/>
        </w:rPr>
        <w:t>报名单位在现场确认报名信息时，须配备二代身份证识别仪，并进行考生本人、身份证照片和高中教育阶段照片的“三比对”；往届生</w:t>
      </w:r>
      <w:r>
        <w:rPr>
          <w:rFonts w:hint="eastAsia" w:ascii="仿宋_GB2312" w:eastAsia="仿宋_GB2312"/>
          <w:sz w:val="32"/>
          <w:szCs w:val="32"/>
        </w:rPr>
        <w:t>和同等学力生</w:t>
      </w:r>
      <w:r>
        <w:rPr>
          <w:rFonts w:ascii="仿宋_GB2312" w:eastAsia="仿宋_GB2312"/>
          <w:sz w:val="32"/>
          <w:szCs w:val="32"/>
        </w:rPr>
        <w:t>在现场确认时，报名单位须使用人脸识别设备进行身份比对，确保考生身份信息真实准确。</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baseline"/>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各报名单位须按规定对考生的资格进行审查，将资格审查责任明确到岗、落实到人，遴选熟悉业务、秉公办事的人员专门负责资格审查工作。资格审查人员必须严格按照国家和本市有关规定，逐一审查每位考生的资格，履行签字手续，并对审查结果负责。</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baseline"/>
        <w:rPr>
          <w:rFonts w:ascii="仿宋_GB2312" w:eastAsia="仿宋_GB2312"/>
          <w:sz w:val="32"/>
          <w:szCs w:val="32"/>
        </w:rPr>
      </w:pPr>
      <w:r>
        <w:rPr>
          <w:rFonts w:hint="eastAsia" w:ascii="仿宋_GB2312" w:eastAsia="仿宋_GB2312"/>
          <w:sz w:val="32"/>
          <w:szCs w:val="32"/>
        </w:rPr>
        <w:t>4.</w:t>
      </w:r>
      <w:r>
        <w:rPr>
          <w:rFonts w:ascii="仿宋_GB2312" w:eastAsia="仿宋_GB2312"/>
          <w:sz w:val="32"/>
          <w:szCs w:val="32"/>
        </w:rPr>
        <w:t>各报名单位须逐项审查考生的相关证件、证明等材料，凡证件证明不全或不实者，不准其报名；所有审查材料要复印（或拍照）留存备查。</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baseline"/>
        <w:rPr>
          <w:rFonts w:ascii="仿宋_GB2312" w:eastAsia="仿宋_GB2312"/>
          <w:sz w:val="32"/>
          <w:szCs w:val="32"/>
        </w:rPr>
      </w:pPr>
      <w:r>
        <w:rPr>
          <w:rFonts w:hint="eastAsia" w:ascii="仿宋_GB2312" w:eastAsia="仿宋_GB2312"/>
          <w:sz w:val="32"/>
          <w:szCs w:val="32"/>
        </w:rPr>
        <w:t>5.</w:t>
      </w:r>
      <w:r>
        <w:rPr>
          <w:rFonts w:ascii="仿宋_GB2312" w:eastAsia="仿宋_GB2312"/>
          <w:sz w:val="32"/>
          <w:szCs w:val="32"/>
        </w:rPr>
        <w:t>考生在现场确认报名信息时，须签订诚信承诺书，承诺本人所填内容、提供的相关证明材料客观、真实、准确，承诺参加招生考试时遵守有关管理规定。考生要在高考报名信息确认表上签字确认信息，确认表一式两份，一份存入考生档案，一份在区招办留存备查。</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baseline"/>
        <w:rPr>
          <w:rFonts w:ascii="黑体" w:hAnsi="黑体" w:eastAsia="黑体"/>
          <w:sz w:val="32"/>
          <w:szCs w:val="32"/>
        </w:rPr>
      </w:pPr>
      <w:r>
        <w:rPr>
          <w:rFonts w:hint="eastAsia" w:ascii="黑体" w:hAnsi="黑体" w:eastAsia="黑体"/>
          <w:sz w:val="32"/>
          <w:szCs w:val="32"/>
        </w:rPr>
        <w:t>三、严格</w:t>
      </w:r>
      <w:r>
        <w:rPr>
          <w:rFonts w:ascii="黑体" w:hAnsi="黑体" w:eastAsia="黑体"/>
          <w:sz w:val="32"/>
          <w:szCs w:val="32"/>
        </w:rPr>
        <w:t>考试</w:t>
      </w:r>
      <w:r>
        <w:rPr>
          <w:rFonts w:hint="eastAsia" w:ascii="黑体" w:hAnsi="黑体" w:eastAsia="黑体"/>
          <w:sz w:val="32"/>
          <w:szCs w:val="32"/>
        </w:rPr>
        <w:t>管理，防范冒名顶替、替考行为</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baseline"/>
        <w:rPr>
          <w:rFonts w:ascii="仿宋_GB2312" w:eastAsia="仿宋_GB2312"/>
          <w:sz w:val="32"/>
          <w:szCs w:val="32"/>
        </w:rPr>
      </w:pPr>
      <w:r>
        <w:rPr>
          <w:rFonts w:hint="eastAsia" w:ascii="仿宋_GB2312" w:eastAsia="仿宋_GB2312"/>
          <w:sz w:val="32"/>
          <w:szCs w:val="32"/>
        </w:rPr>
        <w:t>（一）</w:t>
      </w:r>
      <w:r>
        <w:rPr>
          <w:rFonts w:ascii="仿宋_GB2312" w:eastAsia="仿宋_GB2312"/>
          <w:sz w:val="32"/>
          <w:szCs w:val="32"/>
        </w:rPr>
        <w:t>市高招办统一制作准考证和条形码，考区指导考生</w:t>
      </w:r>
      <w:r>
        <w:rPr>
          <w:rFonts w:hint="eastAsia" w:ascii="仿宋_GB2312" w:eastAsia="仿宋_GB2312"/>
          <w:sz w:val="32"/>
          <w:szCs w:val="32"/>
        </w:rPr>
        <w:t>在规定时间</w:t>
      </w:r>
      <w:r>
        <w:rPr>
          <w:rFonts w:ascii="仿宋_GB2312" w:eastAsia="仿宋_GB2312"/>
          <w:sz w:val="32"/>
          <w:szCs w:val="32"/>
        </w:rPr>
        <w:t>及时登录招考资讯网（www.zhaokao.net），查询考点信息；</w:t>
      </w:r>
      <w:r>
        <w:rPr>
          <w:rFonts w:hint="eastAsia" w:ascii="仿宋_GB2312" w:eastAsia="仿宋_GB2312"/>
          <w:sz w:val="32"/>
          <w:szCs w:val="32"/>
        </w:rPr>
        <w:t>规定时间</w:t>
      </w:r>
      <w:r>
        <w:rPr>
          <w:rFonts w:ascii="仿宋_GB2312" w:eastAsia="仿宋_GB2312"/>
          <w:sz w:val="32"/>
          <w:szCs w:val="32"/>
        </w:rPr>
        <w:t>指导考生及时登录招考资讯网，自行下载并打印准考证。</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baseline"/>
        <w:rPr>
          <w:rFonts w:ascii="仿宋_GB2312" w:eastAsia="仿宋_GB2312"/>
          <w:sz w:val="32"/>
          <w:szCs w:val="32"/>
        </w:rPr>
      </w:pPr>
      <w:r>
        <w:rPr>
          <w:rFonts w:hint="eastAsia" w:ascii="仿宋_GB2312" w:eastAsia="仿宋_GB2312"/>
          <w:sz w:val="32"/>
          <w:szCs w:val="32"/>
        </w:rPr>
        <w:t>（二）</w:t>
      </w:r>
      <w:r>
        <w:rPr>
          <w:rFonts w:ascii="仿宋_GB2312" w:eastAsia="仿宋_GB2312"/>
          <w:sz w:val="32"/>
          <w:szCs w:val="32"/>
        </w:rPr>
        <w:t>考生凭准考证、有效身份证件和考试用条形码参加考试，考生必须遵守《考场规则》。</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baseline"/>
        <w:rPr>
          <w:rFonts w:ascii="仿宋_GB2312" w:eastAsia="仿宋_GB2312"/>
          <w:sz w:val="32"/>
          <w:szCs w:val="32"/>
        </w:rPr>
      </w:pPr>
      <w:r>
        <w:rPr>
          <w:rFonts w:hint="eastAsia" w:ascii="仿宋_GB2312" w:eastAsia="仿宋_GB2312"/>
          <w:sz w:val="32"/>
          <w:szCs w:val="32"/>
        </w:rPr>
        <w:t>（三）加强高考标准化考点建设，强化考务工作人员培训和管理，严格执行考务工作规定，认真核对准考证和有效身份证件，运用“人证比对”对入场考生进行身份核验。</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baseline"/>
        <w:rPr>
          <w:rFonts w:ascii="黑体" w:hAnsi="黑体" w:eastAsia="黑体"/>
          <w:sz w:val="32"/>
          <w:szCs w:val="32"/>
        </w:rPr>
      </w:pPr>
      <w:r>
        <w:rPr>
          <w:rFonts w:hint="eastAsia" w:ascii="黑体" w:hAnsi="黑体" w:eastAsia="黑体"/>
          <w:sz w:val="32"/>
          <w:szCs w:val="32"/>
        </w:rPr>
        <w:t>四、规</w:t>
      </w:r>
      <w:r>
        <w:rPr>
          <w:rFonts w:ascii="黑体" w:hAnsi="黑体" w:eastAsia="黑体"/>
          <w:sz w:val="32"/>
          <w:szCs w:val="32"/>
        </w:rPr>
        <w:t>范</w:t>
      </w:r>
      <w:r>
        <w:rPr>
          <w:rFonts w:hint="eastAsia" w:ascii="黑体" w:hAnsi="黑体" w:eastAsia="黑体"/>
          <w:sz w:val="32"/>
          <w:szCs w:val="32"/>
        </w:rPr>
        <w:t>档案组建、管理及流转</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baseline"/>
        <w:rPr>
          <w:rFonts w:ascii="仿宋_GB2312" w:eastAsia="仿宋_GB2312"/>
          <w:sz w:val="32"/>
          <w:szCs w:val="32"/>
        </w:rPr>
      </w:pPr>
      <w:r>
        <w:rPr>
          <w:rFonts w:hint="eastAsia" w:ascii="仿宋_GB2312" w:eastAsia="仿宋_GB2312"/>
          <w:sz w:val="32"/>
          <w:szCs w:val="32"/>
        </w:rPr>
        <w:t>（一）高中各阶段学籍档案分为电子档案和纸质档案。电子档案纳入电子学籍系统管理，纸质档案由学校学籍管理员负责为学生组档。学生纸质学籍档案内容包括：学生学籍基础信息及信息变动情况、学籍信息证明材料（户籍证明、转学申请、休学申请等）、综合素质评价总档案、在校期间获奖信息等。</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baseline"/>
        <w:rPr>
          <w:rFonts w:ascii="仿宋_GB2312" w:eastAsia="仿宋_GB2312"/>
          <w:sz w:val="32"/>
          <w:szCs w:val="32"/>
        </w:rPr>
      </w:pPr>
      <w:r>
        <w:rPr>
          <w:rFonts w:hint="eastAsia" w:ascii="仿宋_GB2312" w:eastAsia="仿宋_GB2312"/>
          <w:sz w:val="32"/>
          <w:szCs w:val="32"/>
        </w:rPr>
        <w:t>学生转学或在基础教育阶段升学时，学籍档案应当转至转入学校或升入学校，转出学校或毕业学校应保留电子档案备份，并永久保存学生学籍名册及毕业标准合格学生名册。同时，落实学籍信息保密制度，未经允许不得向外提供学生学籍信息，严防学籍信息外泄和滥用。</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baseline"/>
        <w:rPr>
          <w:rFonts w:ascii="仿宋_GB2312" w:eastAsia="仿宋_GB2312"/>
          <w:sz w:val="32"/>
          <w:szCs w:val="32"/>
        </w:rPr>
      </w:pPr>
      <w:r>
        <w:rPr>
          <w:rFonts w:hint="eastAsia" w:ascii="仿宋_GB2312" w:eastAsia="仿宋_GB2312"/>
          <w:sz w:val="32"/>
          <w:szCs w:val="32"/>
        </w:rPr>
        <w:t>（二）档案流转管理</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baseline"/>
        <w:rPr>
          <w:rFonts w:ascii="仿宋_GB2312" w:eastAsia="仿宋_GB2312"/>
          <w:sz w:val="32"/>
          <w:szCs w:val="32"/>
        </w:rPr>
      </w:pPr>
      <w:r>
        <w:rPr>
          <w:rFonts w:hint="eastAsia" w:ascii="仿宋_GB2312" w:eastAsia="仿宋_GB2312"/>
          <w:sz w:val="32"/>
          <w:szCs w:val="32"/>
        </w:rPr>
        <w:t>1.本市应届生档案由学籍校负责发放，由考生本人按照规定签字领取；</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baseline"/>
        <w:rPr>
          <w:rFonts w:ascii="仿宋_GB2312" w:eastAsia="仿宋_GB2312"/>
          <w:sz w:val="32"/>
          <w:szCs w:val="32"/>
        </w:rPr>
      </w:pPr>
      <w:r>
        <w:rPr>
          <w:rFonts w:hint="eastAsia" w:ascii="仿宋_GB2312" w:eastAsia="仿宋_GB2312"/>
          <w:sz w:val="32"/>
          <w:szCs w:val="32"/>
        </w:rPr>
        <w:t>2.往届生档</w:t>
      </w:r>
      <w:r>
        <w:rPr>
          <w:rFonts w:ascii="仿宋_GB2312" w:eastAsia="仿宋_GB2312"/>
          <w:sz w:val="32"/>
          <w:szCs w:val="32"/>
        </w:rPr>
        <w:t>案</w:t>
      </w:r>
      <w:r>
        <w:rPr>
          <w:rFonts w:hint="eastAsia" w:ascii="仿宋_GB2312" w:eastAsia="仿宋_GB2312"/>
          <w:sz w:val="32"/>
          <w:szCs w:val="32"/>
        </w:rPr>
        <w:t>由区考试中心负责。</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baseline"/>
        <w:rPr>
          <w:rFonts w:ascii="仿宋_GB2312" w:eastAsia="仿宋_GB2312"/>
          <w:sz w:val="32"/>
          <w:szCs w:val="32"/>
        </w:rPr>
      </w:pPr>
      <w:r>
        <w:rPr>
          <w:rFonts w:hint="eastAsia" w:ascii="仿宋_GB2312" w:eastAsia="仿宋_GB2312"/>
          <w:sz w:val="32"/>
          <w:szCs w:val="32"/>
        </w:rPr>
        <w:t>①已被录取考生，考</w:t>
      </w:r>
      <w:r>
        <w:rPr>
          <w:rFonts w:ascii="仿宋_GB2312" w:eastAsia="仿宋_GB2312"/>
          <w:sz w:val="32"/>
          <w:szCs w:val="32"/>
        </w:rPr>
        <w:t>生</w:t>
      </w:r>
      <w:r>
        <w:rPr>
          <w:rFonts w:hint="eastAsia" w:ascii="仿宋_GB2312" w:eastAsia="仿宋_GB2312"/>
          <w:sz w:val="32"/>
          <w:szCs w:val="32"/>
        </w:rPr>
        <w:t>本人携带录取通知书、身份证、密封好的高中阶段档案等</w:t>
      </w:r>
      <w:r>
        <w:rPr>
          <w:rFonts w:ascii="仿宋_GB2312" w:eastAsia="仿宋_GB2312"/>
          <w:sz w:val="32"/>
          <w:szCs w:val="32"/>
        </w:rPr>
        <w:t>材料</w:t>
      </w:r>
      <w:r>
        <w:rPr>
          <w:rFonts w:hint="eastAsia" w:ascii="仿宋_GB2312" w:eastAsia="仿宋_GB2312"/>
          <w:sz w:val="32"/>
          <w:szCs w:val="32"/>
        </w:rPr>
        <w:t>，由区考试中心将</w:t>
      </w:r>
      <w:r>
        <w:rPr>
          <w:rFonts w:ascii="仿宋_GB2312" w:eastAsia="仿宋_GB2312"/>
          <w:sz w:val="32"/>
          <w:szCs w:val="32"/>
        </w:rPr>
        <w:t>考</w:t>
      </w:r>
      <w:r>
        <w:rPr>
          <w:rFonts w:hint="eastAsia" w:ascii="仿宋_GB2312" w:eastAsia="仿宋_GB2312"/>
          <w:sz w:val="32"/>
          <w:szCs w:val="32"/>
        </w:rPr>
        <w:t>生</w:t>
      </w:r>
      <w:r>
        <w:rPr>
          <w:rFonts w:ascii="仿宋_GB2312" w:eastAsia="仿宋_GB2312"/>
          <w:sz w:val="32"/>
          <w:szCs w:val="32"/>
        </w:rPr>
        <w:t>的</w:t>
      </w:r>
      <w:r>
        <w:rPr>
          <w:rFonts w:hint="eastAsia" w:ascii="仿宋_GB2312" w:eastAsia="仿宋_GB2312"/>
          <w:sz w:val="32"/>
          <w:szCs w:val="32"/>
        </w:rPr>
        <w:t>高考报名表、体检表等，再次密封后交</w:t>
      </w:r>
      <w:r>
        <w:rPr>
          <w:rFonts w:ascii="仿宋_GB2312" w:eastAsia="仿宋_GB2312"/>
          <w:sz w:val="32"/>
          <w:szCs w:val="32"/>
        </w:rPr>
        <w:t>给</w:t>
      </w:r>
      <w:r>
        <w:rPr>
          <w:rFonts w:hint="eastAsia" w:ascii="仿宋_GB2312" w:eastAsia="仿宋_GB2312"/>
          <w:sz w:val="32"/>
          <w:szCs w:val="32"/>
        </w:rPr>
        <w:t>考生本</w:t>
      </w:r>
      <w:r>
        <w:rPr>
          <w:rFonts w:ascii="仿宋_GB2312" w:eastAsia="仿宋_GB2312"/>
          <w:sz w:val="32"/>
          <w:szCs w:val="32"/>
        </w:rPr>
        <w:t>人，并</w:t>
      </w:r>
      <w:r>
        <w:rPr>
          <w:rFonts w:hint="eastAsia" w:ascii="仿宋_GB2312" w:eastAsia="仿宋_GB2312"/>
          <w:sz w:val="32"/>
          <w:szCs w:val="32"/>
        </w:rPr>
        <w:t>由</w:t>
      </w:r>
      <w:r>
        <w:rPr>
          <w:rFonts w:ascii="仿宋_GB2312" w:eastAsia="仿宋_GB2312"/>
          <w:sz w:val="32"/>
          <w:szCs w:val="32"/>
        </w:rPr>
        <w:t>考生本人</w:t>
      </w:r>
      <w:r>
        <w:rPr>
          <w:rFonts w:hint="eastAsia" w:ascii="仿宋_GB2312" w:eastAsia="仿宋_GB2312"/>
          <w:sz w:val="32"/>
          <w:szCs w:val="32"/>
        </w:rPr>
        <w:t>签字。凡家长代</w:t>
      </w:r>
      <w:r>
        <w:rPr>
          <w:rFonts w:ascii="仿宋_GB2312" w:eastAsia="仿宋_GB2312"/>
          <w:sz w:val="32"/>
          <w:szCs w:val="32"/>
        </w:rPr>
        <w:t>办的</w:t>
      </w:r>
      <w:r>
        <w:rPr>
          <w:rFonts w:hint="eastAsia" w:ascii="仿宋_GB2312" w:eastAsia="仿宋_GB2312"/>
          <w:sz w:val="32"/>
          <w:szCs w:val="32"/>
        </w:rPr>
        <w:t>，须</w:t>
      </w:r>
      <w:r>
        <w:rPr>
          <w:rFonts w:ascii="仿宋_GB2312" w:eastAsia="仿宋_GB2312"/>
          <w:sz w:val="32"/>
          <w:szCs w:val="32"/>
        </w:rPr>
        <w:t>携带</w:t>
      </w:r>
      <w:r>
        <w:rPr>
          <w:rFonts w:hint="eastAsia" w:ascii="仿宋_GB2312" w:eastAsia="仿宋_GB2312"/>
          <w:sz w:val="32"/>
          <w:szCs w:val="32"/>
        </w:rPr>
        <w:t>家</w:t>
      </w:r>
      <w:r>
        <w:rPr>
          <w:rFonts w:ascii="仿宋_GB2312" w:eastAsia="仿宋_GB2312"/>
          <w:sz w:val="32"/>
          <w:szCs w:val="32"/>
        </w:rPr>
        <w:t>长本人身份证等相关证明</w:t>
      </w:r>
      <w:r>
        <w:rPr>
          <w:rFonts w:hint="eastAsia" w:ascii="仿宋_GB2312" w:eastAsia="仿宋_GB2312"/>
          <w:sz w:val="32"/>
          <w:szCs w:val="32"/>
        </w:rPr>
        <w:t>，</w:t>
      </w:r>
      <w:r>
        <w:rPr>
          <w:rFonts w:ascii="仿宋_GB2312" w:eastAsia="仿宋_GB2312"/>
          <w:sz w:val="32"/>
          <w:szCs w:val="32"/>
        </w:rPr>
        <w:t>履行</w:t>
      </w:r>
      <w:r>
        <w:rPr>
          <w:rFonts w:hint="eastAsia" w:ascii="仿宋_GB2312" w:eastAsia="仿宋_GB2312"/>
          <w:sz w:val="32"/>
          <w:szCs w:val="32"/>
        </w:rPr>
        <w:t>上述</w:t>
      </w:r>
      <w:r>
        <w:rPr>
          <w:rFonts w:ascii="仿宋_GB2312" w:eastAsia="仿宋_GB2312"/>
          <w:sz w:val="32"/>
          <w:szCs w:val="32"/>
        </w:rPr>
        <w:t>领取手续并</w:t>
      </w:r>
      <w:r>
        <w:rPr>
          <w:rFonts w:hint="eastAsia" w:ascii="仿宋_GB2312" w:eastAsia="仿宋_GB2312"/>
          <w:sz w:val="32"/>
          <w:szCs w:val="32"/>
        </w:rPr>
        <w:t>签</w:t>
      </w:r>
      <w:r>
        <w:rPr>
          <w:rFonts w:ascii="仿宋_GB2312" w:eastAsia="仿宋_GB2312"/>
          <w:sz w:val="32"/>
          <w:szCs w:val="32"/>
        </w:rPr>
        <w:t>字。</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baseline"/>
        <w:rPr>
          <w:rFonts w:ascii="仿宋_GB2312" w:eastAsia="仿宋_GB2312"/>
          <w:sz w:val="32"/>
          <w:szCs w:val="32"/>
        </w:rPr>
      </w:pPr>
      <w:r>
        <w:rPr>
          <w:rFonts w:hint="eastAsia" w:ascii="仿宋_GB2312" w:eastAsia="仿宋_GB2312"/>
          <w:sz w:val="32"/>
          <w:szCs w:val="32"/>
        </w:rPr>
        <w:t>②其他人员不予领取。</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baseline"/>
        <w:rPr>
          <w:rFonts w:ascii="黑体" w:hAnsi="黑体" w:eastAsia="黑体"/>
          <w:sz w:val="32"/>
          <w:szCs w:val="32"/>
        </w:rPr>
      </w:pPr>
      <w:r>
        <w:rPr>
          <w:rFonts w:hint="eastAsia" w:ascii="黑体" w:hAnsi="黑体" w:eastAsia="黑体"/>
          <w:sz w:val="32"/>
          <w:szCs w:val="32"/>
        </w:rPr>
        <w:t>五、切实加强组织领导，落实主体责任</w:t>
      </w:r>
    </w:p>
    <w:p>
      <w:pPr>
        <w:keepNext w:val="0"/>
        <w:keepLines w:val="0"/>
        <w:pageBreakBefore w:val="0"/>
        <w:widowControl w:val="0"/>
        <w:kinsoku/>
        <w:wordWrap/>
        <w:overflowPunct/>
        <w:topLinePunct w:val="0"/>
        <w:autoSpaceDE/>
        <w:autoSpaceDN/>
        <w:bidi w:val="0"/>
        <w:adjustRightInd w:val="0"/>
        <w:snapToGrid w:val="0"/>
        <w:spacing w:line="560" w:lineRule="atLeast"/>
        <w:ind w:firstLine="643" w:firstLineChars="200"/>
        <w:textAlignment w:val="baseline"/>
        <w:rPr>
          <w:rFonts w:ascii="仿宋_GB2312" w:eastAsia="仿宋_GB2312"/>
          <w:sz w:val="32"/>
          <w:szCs w:val="32"/>
        </w:rPr>
      </w:pPr>
      <w:r>
        <w:rPr>
          <w:rFonts w:hint="eastAsia" w:ascii="楷体_GB2312" w:hAnsi="楷体_GB2312" w:eastAsia="楷体_GB2312" w:cs="楷体_GB2312"/>
          <w:b/>
          <w:sz w:val="32"/>
          <w:szCs w:val="32"/>
        </w:rPr>
        <w:t>（一）加强领导，落实工作责任。</w:t>
      </w:r>
      <w:r>
        <w:rPr>
          <w:rFonts w:hint="eastAsia" w:ascii="仿宋_GB2312" w:eastAsia="仿宋_GB2312"/>
          <w:sz w:val="32"/>
          <w:szCs w:val="32"/>
        </w:rPr>
        <w:t>构建防范冒名顶替上大学工作长效机制，由区教体局牵头，与区纪委监委、区委宣传部、区委政法委、区公安局共同建立常态联席工作机制，统筹领导全区防范冒名顶替上大学各项工作。区教体局成立由主要负责同志任组长，中学教育工作室、考试中心主要负责同志作为成员的防范冒名顶替上大学工作协调工作组，明确组织领导、工作内容、程序步骤、职责分工、监督管理等工作要求，抓好落实。</w:t>
      </w:r>
    </w:p>
    <w:p>
      <w:pPr>
        <w:keepNext w:val="0"/>
        <w:keepLines w:val="0"/>
        <w:pageBreakBefore w:val="0"/>
        <w:widowControl w:val="0"/>
        <w:kinsoku/>
        <w:wordWrap/>
        <w:overflowPunct/>
        <w:topLinePunct w:val="0"/>
        <w:autoSpaceDE/>
        <w:autoSpaceDN/>
        <w:bidi w:val="0"/>
        <w:adjustRightInd w:val="0"/>
        <w:snapToGrid w:val="0"/>
        <w:spacing w:line="560" w:lineRule="atLeast"/>
        <w:ind w:firstLine="643" w:firstLineChars="200"/>
        <w:textAlignment w:val="baseline"/>
        <w:rPr>
          <w:rFonts w:ascii="仿宋_GB2312" w:eastAsia="仿宋_GB2312"/>
          <w:sz w:val="32"/>
          <w:szCs w:val="32"/>
        </w:rPr>
      </w:pPr>
      <w:r>
        <w:rPr>
          <w:rFonts w:hint="eastAsia" w:ascii="楷体_GB2312" w:hAnsi="楷体_GB2312" w:eastAsia="楷体_GB2312" w:cs="楷体_GB2312"/>
          <w:b/>
          <w:sz w:val="32"/>
          <w:szCs w:val="32"/>
        </w:rPr>
        <w:t>（二）加强培训，强化工作保障。</w:t>
      </w:r>
      <w:r>
        <w:rPr>
          <w:rFonts w:hint="eastAsia" w:ascii="仿宋_GB2312" w:eastAsia="仿宋_GB2312"/>
          <w:sz w:val="32"/>
          <w:szCs w:val="32"/>
        </w:rPr>
        <w:t>明确学籍学历管理和高考报名的分管领导、责任部门和专职人员，配齐配强学籍学历工作队伍，确保专人专职专岗和队伍稳定，根据工作部署定期进行业务培训，加强学籍学历管理信息化建设，不断提升相关工作人员的政策水平和业务能力。</w:t>
      </w:r>
    </w:p>
    <w:p>
      <w:pPr>
        <w:keepNext w:val="0"/>
        <w:keepLines w:val="0"/>
        <w:pageBreakBefore w:val="0"/>
        <w:widowControl w:val="0"/>
        <w:kinsoku/>
        <w:wordWrap/>
        <w:overflowPunct/>
        <w:topLinePunct w:val="0"/>
        <w:autoSpaceDE/>
        <w:autoSpaceDN/>
        <w:bidi w:val="0"/>
        <w:adjustRightInd w:val="0"/>
        <w:snapToGrid w:val="0"/>
        <w:spacing w:line="560" w:lineRule="atLeast"/>
        <w:ind w:firstLine="643" w:firstLineChars="200"/>
        <w:textAlignment w:val="baseline"/>
        <w:rPr>
          <w:rFonts w:ascii="仿宋_GB2312" w:eastAsia="仿宋_GB2312"/>
          <w:sz w:val="32"/>
          <w:szCs w:val="32"/>
        </w:rPr>
      </w:pPr>
      <w:r>
        <w:rPr>
          <w:rFonts w:hint="eastAsia" w:ascii="楷体_GB2312" w:hAnsi="楷体_GB2312" w:eastAsia="楷体_GB2312" w:cs="楷体_GB2312"/>
          <w:b/>
          <w:sz w:val="32"/>
          <w:szCs w:val="32"/>
        </w:rPr>
        <w:t>（三）强化责任担当、督查问责。</w:t>
      </w:r>
      <w:r>
        <w:rPr>
          <w:rFonts w:hint="eastAsia" w:ascii="仿宋_GB2312" w:eastAsia="仿宋_GB2312"/>
          <w:sz w:val="32"/>
          <w:szCs w:val="32"/>
        </w:rPr>
        <w:t>建立健全监督检查、责任追究、信访举报工作机制，对招生考试和学籍学历管理相关政策法规落实和制度建设情况开展检查，对可能发生冒名顶替、替考等违法违规行为的关键环节加强监督。持续保持坚决惩治冒名顶替上大学问题的高压态势，坚持全面从严、一严到底。对冒名顶替、弄虚作假、徇私舞弊、滥用权力、失职失责等情形，一经查实，依规依纪依法严肃追究有关人员和单位负责人的责任。</w:t>
      </w: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baseline"/>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atLeast"/>
        <w:ind w:firstLine="640" w:firstLineChars="200"/>
        <w:textAlignment w:val="baseline"/>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atLeast"/>
        <w:textAlignment w:val="baseline"/>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atLeast"/>
        <w:textAlignment w:val="baseline"/>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atLeast"/>
        <w:textAlignment w:val="baseline"/>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atLeast"/>
        <w:textAlignment w:val="baseline"/>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atLeast"/>
        <w:textAlignment w:val="baseline"/>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atLeast"/>
        <w:textAlignment w:val="baseline"/>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atLeast"/>
        <w:textAlignment w:val="baseline"/>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atLeast"/>
        <w:textAlignment w:val="baseline"/>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atLeast"/>
        <w:textAlignment w:val="baseline"/>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atLeast"/>
        <w:textAlignment w:val="baseline"/>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atLeast"/>
        <w:textAlignment w:val="baseline"/>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atLeast"/>
        <w:textAlignment w:val="baseline"/>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atLeast"/>
        <w:textAlignment w:val="baseline"/>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atLeast"/>
        <w:textAlignment w:val="baseline"/>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atLeast"/>
        <w:textAlignment w:val="baseline"/>
        <w:rPr>
          <w:rFonts w:ascii="仿宋_GB2312" w:eastAsia="仿宋_GB2312"/>
          <w:sz w:val="32"/>
          <w:szCs w:val="32"/>
        </w:rPr>
      </w:pPr>
      <w:bookmarkStart w:id="0" w:name="_GoBack"/>
      <w:bookmarkEnd w:id="0"/>
    </w:p>
    <w:p>
      <w:pPr>
        <w:keepNext w:val="0"/>
        <w:keepLines w:val="0"/>
        <w:pageBreakBefore w:val="0"/>
        <w:kinsoku/>
        <w:wordWrap/>
        <w:overflowPunct/>
        <w:autoSpaceDE/>
        <w:autoSpaceDN/>
        <w:bidi w:val="0"/>
        <w:adjustRightInd w:val="0"/>
        <w:snapToGrid w:val="0"/>
        <w:spacing w:line="540" w:lineRule="atLeast"/>
        <w:textAlignment w:val="auto"/>
        <w:rPr>
          <w:rFonts w:ascii="仿宋_GB2312" w:eastAsia="仿宋_GB2312"/>
          <w:sz w:val="32"/>
          <w:szCs w:val="32"/>
        </w:rPr>
      </w:pPr>
      <w:r>
        <w:rPr>
          <w:rFonts w:hint="eastAsia" w:ascii="仿宋_GB2312" w:hAnsi="仿宋_GB2312" w:eastAsia="仿宋_GB2312" w:cs="仿宋_GB2312"/>
          <w:sz w:val="28"/>
          <w:szCs w:val="28"/>
        </w:rPr>
        <w:pict>
          <v:line id="直接连接符 2" o:spid="_x0000_s1030" o:spt="20" style="position:absolute;left:0pt;margin-left:-10.75pt;margin-top:6.2pt;height:0pt;width:436.55pt;z-index:251667456;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">
            <v:path arrowok="t"/>
            <v:fill on="f" focussize="0,0"/>
            <v:stroke weight="0.992047244094488pt"/>
            <v:imagedata o:title=""/>
            <o:lock v:ext="edit" aspectratio="f"/>
          </v:line>
        </w:pict>
      </w:r>
      <w:r>
        <w:rPr>
          <w:rFonts w:hint="eastAsia" w:ascii="仿宋_GB2312" w:hAnsi="仿宋_GB2312" w:eastAsia="仿宋_GB2312" w:cs="仿宋_GB2312"/>
          <w:sz w:val="28"/>
          <w:szCs w:val="28"/>
        </w:rPr>
        <w:pict>
          <v:line id="直接连接符 3" o:spid="_x0000_s1031" o:spt="20" style="position:absolute;left:0pt;margin-left:-10pt;margin-top:29.45pt;height:0pt;width:436.55pt;z-index:251666432;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">
            <v:path arrowok="t"/>
            <v:fill on="f" focussize="0,0"/>
            <v:stroke weight="0.992047244094488pt"/>
            <v:imagedata o:title=""/>
            <o:lock v:ext="edit" aspectratio="f"/>
          </v:line>
        </w:pict>
      </w:r>
      <w:r>
        <w:rPr>
          <w:rFonts w:hint="eastAsia" w:ascii="仿宋_GB2312" w:hAnsi="仿宋_GB2312" w:eastAsia="仿宋_GB2312" w:cs="仿宋_GB2312"/>
          <w:sz w:val="28"/>
          <w:szCs w:val="28"/>
        </w:rPr>
        <w:t>天津市滨海新区教育体育局办公室          2021年</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18</w:t>
      </w:r>
      <w:r>
        <w:rPr>
          <w:rFonts w:hint="eastAsia" w:ascii="仿宋_GB2312" w:hAnsi="仿宋_GB2312" w:eastAsia="仿宋_GB2312" w:cs="仿宋_GB2312"/>
          <w:sz w:val="28"/>
          <w:szCs w:val="28"/>
        </w:rPr>
        <w:t>日印发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简标宋">
    <w:panose1 w:val="00000000000000000000"/>
    <w:charset w:val="86"/>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94662B"/>
    <w:rsid w:val="00016704"/>
    <w:rsid w:val="00091663"/>
    <w:rsid w:val="000B1143"/>
    <w:rsid w:val="001058A8"/>
    <w:rsid w:val="001C2C48"/>
    <w:rsid w:val="001D108B"/>
    <w:rsid w:val="001E1ACF"/>
    <w:rsid w:val="001E42C8"/>
    <w:rsid w:val="00247349"/>
    <w:rsid w:val="00283E63"/>
    <w:rsid w:val="002E5011"/>
    <w:rsid w:val="002F070B"/>
    <w:rsid w:val="00360101"/>
    <w:rsid w:val="003A7E27"/>
    <w:rsid w:val="003E612C"/>
    <w:rsid w:val="0046301C"/>
    <w:rsid w:val="004F5106"/>
    <w:rsid w:val="00512FF8"/>
    <w:rsid w:val="00541617"/>
    <w:rsid w:val="005B02B9"/>
    <w:rsid w:val="005D575E"/>
    <w:rsid w:val="00606558"/>
    <w:rsid w:val="0062521E"/>
    <w:rsid w:val="00690873"/>
    <w:rsid w:val="006D3975"/>
    <w:rsid w:val="006F00BF"/>
    <w:rsid w:val="00735D8B"/>
    <w:rsid w:val="00786A15"/>
    <w:rsid w:val="008125CC"/>
    <w:rsid w:val="00812C09"/>
    <w:rsid w:val="00864764"/>
    <w:rsid w:val="008856EA"/>
    <w:rsid w:val="00903B06"/>
    <w:rsid w:val="0094662B"/>
    <w:rsid w:val="0099743E"/>
    <w:rsid w:val="009A261F"/>
    <w:rsid w:val="009A6993"/>
    <w:rsid w:val="009D1314"/>
    <w:rsid w:val="009D1CD2"/>
    <w:rsid w:val="00A25EF8"/>
    <w:rsid w:val="00A40C3F"/>
    <w:rsid w:val="00A4168A"/>
    <w:rsid w:val="00A8516A"/>
    <w:rsid w:val="00A96B5C"/>
    <w:rsid w:val="00B4660B"/>
    <w:rsid w:val="00B600E2"/>
    <w:rsid w:val="00BB2DF9"/>
    <w:rsid w:val="00BE5770"/>
    <w:rsid w:val="00BF0713"/>
    <w:rsid w:val="00C46DA4"/>
    <w:rsid w:val="00C61A03"/>
    <w:rsid w:val="00C80082"/>
    <w:rsid w:val="00C943C0"/>
    <w:rsid w:val="00CC4948"/>
    <w:rsid w:val="00CC5BC9"/>
    <w:rsid w:val="00CD643F"/>
    <w:rsid w:val="00D813EA"/>
    <w:rsid w:val="00DE0274"/>
    <w:rsid w:val="00E104BE"/>
    <w:rsid w:val="00E14360"/>
    <w:rsid w:val="00E2061A"/>
    <w:rsid w:val="00E509DB"/>
    <w:rsid w:val="00EA2066"/>
    <w:rsid w:val="00EE55DC"/>
    <w:rsid w:val="00EE5DCE"/>
    <w:rsid w:val="00FD5F56"/>
    <w:rsid w:val="605636DF"/>
    <w:rsid w:val="62334F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paragraph" w:styleId="9">
    <w:name w:val="List Paragraph"/>
    <w:basedOn w:val="1"/>
    <w:qFormat/>
    <w:uiPriority w:val="34"/>
    <w:pPr>
      <w:ind w:firstLine="420" w:firstLineChars="200"/>
    </w:p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30"/>
    <customShpInfo spid="_x0000_s103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C25E47-D65C-469C-A4A8-A5F6C8C2C1B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611</Words>
  <Characters>3489</Characters>
  <Lines>29</Lines>
  <Paragraphs>8</Paragraphs>
  <TotalTime>0</TotalTime>
  <ScaleCrop>false</ScaleCrop>
  <LinksUpToDate>false</LinksUpToDate>
  <CharactersWithSpaces>4092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2021-08-12T01:39:00Z</dcterms:created>
  <dc:creator>admin</dc:creator>
  <cp:lastModifiedBy>Administrator</cp:lastModifiedBy>
  <cp:lastPrinted>2021-08-13T02:35:00Z</cp:lastPrinted>
  <dcterms:modified xsi:type="dcterms:W3CDTF">2021-08-18T03:25:46Z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